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17FBC" w:rsidRDefault="000507D6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518D4">
        <w:rPr>
          <w:sz w:val="28"/>
          <w:szCs w:val="28"/>
        </w:rPr>
        <w:t>.02.0</w:t>
      </w:r>
      <w:r>
        <w:rPr>
          <w:sz w:val="28"/>
          <w:szCs w:val="28"/>
        </w:rPr>
        <w:t>8</w:t>
      </w:r>
      <w:r w:rsidR="00A518D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машиностроения</w:t>
      </w:r>
      <w:r w:rsidR="00F95412">
        <w:rPr>
          <w:sz w:val="28"/>
          <w:szCs w:val="28"/>
        </w:rPr>
        <w:t xml:space="preserve">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(</w:t>
      </w:r>
      <w:r w:rsidR="000507D6">
        <w:rPr>
          <w:sz w:val="28"/>
          <w:szCs w:val="28"/>
        </w:rPr>
        <w:t>углубленная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</w:t>
      </w:r>
      <w:r w:rsidR="000507D6">
        <w:rPr>
          <w:sz w:val="28"/>
          <w:szCs w:val="28"/>
        </w:rPr>
        <w:t xml:space="preserve">15.02.08 Технология машиностроения </w:t>
      </w:r>
      <w:r>
        <w:rPr>
          <w:sz w:val="28"/>
          <w:szCs w:val="28"/>
        </w:rPr>
        <w:t xml:space="preserve">(по программе </w:t>
      </w:r>
      <w:r w:rsidR="000507D6">
        <w:rPr>
          <w:sz w:val="28"/>
          <w:szCs w:val="28"/>
        </w:rPr>
        <w:t>углубленной</w:t>
      </w:r>
      <w:r>
        <w:rPr>
          <w:sz w:val="28"/>
          <w:szCs w:val="28"/>
        </w:rPr>
        <w:t xml:space="preserve">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 w:rsidR="000507D6">
        <w:rPr>
          <w:sz w:val="28"/>
          <w:szCs w:val="28"/>
        </w:rPr>
        <w:t>15.02.08 Технология машиностроения</w:t>
      </w:r>
      <w:r w:rsidR="00F95412">
        <w:rPr>
          <w:sz w:val="28"/>
          <w:szCs w:val="28"/>
        </w:rPr>
        <w:t xml:space="preserve"> (</w:t>
      </w:r>
      <w:r w:rsidR="000507D6">
        <w:rPr>
          <w:sz w:val="28"/>
          <w:szCs w:val="28"/>
        </w:rPr>
        <w:t>углубленной</w:t>
      </w:r>
      <w:r w:rsidR="00F95412">
        <w:rPr>
          <w:sz w:val="28"/>
          <w:szCs w:val="28"/>
        </w:rPr>
        <w:t xml:space="preserve">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FBC" w:rsidRDefault="00317FBC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0F7375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="00FC6AF8"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48" w:rsidRDefault="00FB1548">
      <w:r>
        <w:separator/>
      </w:r>
    </w:p>
  </w:endnote>
  <w:endnote w:type="continuationSeparator" w:id="1">
    <w:p w:rsidR="00FB1548" w:rsidRDefault="00FB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0F7375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0F7375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507D6">
      <w:rPr>
        <w:rStyle w:val="af5"/>
        <w:noProof/>
      </w:rPr>
      <w:t>8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48" w:rsidRDefault="00FB1548">
      <w:r>
        <w:separator/>
      </w:r>
    </w:p>
  </w:footnote>
  <w:footnote w:type="continuationSeparator" w:id="1">
    <w:p w:rsidR="00FB1548" w:rsidRDefault="00FB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507D6"/>
    <w:rsid w:val="00080444"/>
    <w:rsid w:val="000F7375"/>
    <w:rsid w:val="00234C52"/>
    <w:rsid w:val="002B31BA"/>
    <w:rsid w:val="00317FBC"/>
    <w:rsid w:val="00335ABF"/>
    <w:rsid w:val="00446859"/>
    <w:rsid w:val="004F6213"/>
    <w:rsid w:val="005B6F86"/>
    <w:rsid w:val="006A682C"/>
    <w:rsid w:val="006C3071"/>
    <w:rsid w:val="007713FD"/>
    <w:rsid w:val="00781100"/>
    <w:rsid w:val="00790549"/>
    <w:rsid w:val="007946DB"/>
    <w:rsid w:val="007E622B"/>
    <w:rsid w:val="0084482E"/>
    <w:rsid w:val="00871817"/>
    <w:rsid w:val="00A518D4"/>
    <w:rsid w:val="00A74006"/>
    <w:rsid w:val="00AA7300"/>
    <w:rsid w:val="00AF1FB9"/>
    <w:rsid w:val="00B63C2D"/>
    <w:rsid w:val="00B74910"/>
    <w:rsid w:val="00C44246"/>
    <w:rsid w:val="00DC3B42"/>
    <w:rsid w:val="00DF0FC9"/>
    <w:rsid w:val="00F625E5"/>
    <w:rsid w:val="00F94EA6"/>
    <w:rsid w:val="00F95412"/>
    <w:rsid w:val="00FB1548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17</cp:revision>
  <cp:lastPrinted>2014-01-25T08:26:00Z</cp:lastPrinted>
  <dcterms:created xsi:type="dcterms:W3CDTF">2013-09-18T13:06:00Z</dcterms:created>
  <dcterms:modified xsi:type="dcterms:W3CDTF">2018-03-23T07:47:00Z</dcterms:modified>
</cp:coreProperties>
</file>